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76" w:type="dxa"/>
        <w:jc w:val="center"/>
        <w:tblLook w:val="04A0" w:firstRow="1" w:lastRow="0" w:firstColumn="1" w:lastColumn="0" w:noHBand="0" w:noVBand="1"/>
      </w:tblPr>
      <w:tblGrid>
        <w:gridCol w:w="1253"/>
        <w:gridCol w:w="1866"/>
        <w:gridCol w:w="1560"/>
        <w:gridCol w:w="2829"/>
        <w:gridCol w:w="2268"/>
      </w:tblGrid>
      <w:tr w:rsidR="00C64200" w14:paraId="564A0919" w14:textId="77777777" w:rsidTr="001A5DDE">
        <w:trPr>
          <w:jc w:val="center"/>
        </w:trPr>
        <w:tc>
          <w:tcPr>
            <w:tcW w:w="1253" w:type="dxa"/>
          </w:tcPr>
          <w:p w14:paraId="4D60BB39" w14:textId="2F70944C" w:rsidR="00737270" w:rsidRDefault="00737270" w:rsidP="00496131">
            <w:pPr>
              <w:spacing w:line="480" w:lineRule="auto"/>
              <w:jc w:val="center"/>
            </w:pPr>
            <w:r>
              <w:rPr>
                <w:rFonts w:hint="eastAsia"/>
              </w:rPr>
              <w:t>姓名</w:t>
            </w:r>
          </w:p>
        </w:tc>
        <w:tc>
          <w:tcPr>
            <w:tcW w:w="1866" w:type="dxa"/>
          </w:tcPr>
          <w:p w14:paraId="12FB5A11" w14:textId="30271FA7" w:rsidR="00737270" w:rsidRDefault="00C64200" w:rsidP="00496131">
            <w:pPr>
              <w:spacing w:line="480" w:lineRule="auto"/>
              <w:jc w:val="center"/>
            </w:pPr>
            <w:r>
              <w:rPr>
                <w:rFonts w:hint="eastAsia"/>
              </w:rPr>
              <w:t>许振宇</w:t>
            </w:r>
          </w:p>
        </w:tc>
        <w:tc>
          <w:tcPr>
            <w:tcW w:w="1560" w:type="dxa"/>
          </w:tcPr>
          <w:p w14:paraId="4FBB0847" w14:textId="0CF5FA55" w:rsidR="00737270" w:rsidRDefault="00737270" w:rsidP="00496131">
            <w:pPr>
              <w:spacing w:line="480" w:lineRule="auto"/>
              <w:jc w:val="center"/>
            </w:pPr>
            <w:r>
              <w:rPr>
                <w:rFonts w:hint="eastAsia"/>
              </w:rPr>
              <w:t>性别</w:t>
            </w:r>
          </w:p>
        </w:tc>
        <w:tc>
          <w:tcPr>
            <w:tcW w:w="2829" w:type="dxa"/>
          </w:tcPr>
          <w:p w14:paraId="55397E48" w14:textId="67F60648" w:rsidR="00737270" w:rsidRDefault="00C64200" w:rsidP="00496131">
            <w:pPr>
              <w:spacing w:line="480" w:lineRule="auto"/>
              <w:jc w:val="center"/>
            </w:pPr>
            <w:r>
              <w:rPr>
                <w:rFonts w:hint="eastAsia"/>
              </w:rPr>
              <w:t>男</w:t>
            </w:r>
          </w:p>
        </w:tc>
        <w:tc>
          <w:tcPr>
            <w:tcW w:w="2268" w:type="dxa"/>
            <w:vMerge w:val="restart"/>
            <w:vAlign w:val="center"/>
          </w:tcPr>
          <w:p w14:paraId="19AE7EFA" w14:textId="37E200BC" w:rsidR="00737270" w:rsidRDefault="00C64200" w:rsidP="00901C5D">
            <w:pPr>
              <w:spacing w:line="480" w:lineRule="auto"/>
              <w:jc w:val="center"/>
            </w:pPr>
            <w:r>
              <w:rPr>
                <w:noProof/>
              </w:rPr>
              <w:drawing>
                <wp:inline distT="0" distB="0" distL="0" distR="0" wp14:anchorId="7442EF94" wp14:editId="3F22D7AD">
                  <wp:extent cx="1231900" cy="156781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0153" cy="1578319"/>
                          </a:xfrm>
                          <a:prstGeom prst="rect">
                            <a:avLst/>
                          </a:prstGeom>
                        </pic:spPr>
                      </pic:pic>
                    </a:graphicData>
                  </a:graphic>
                </wp:inline>
              </w:drawing>
            </w:r>
          </w:p>
        </w:tc>
      </w:tr>
      <w:tr w:rsidR="00C64200" w14:paraId="3799B2CB" w14:textId="77777777" w:rsidTr="001A5DDE">
        <w:trPr>
          <w:jc w:val="center"/>
        </w:trPr>
        <w:tc>
          <w:tcPr>
            <w:tcW w:w="1253" w:type="dxa"/>
          </w:tcPr>
          <w:p w14:paraId="714BDA79" w14:textId="69F0D687" w:rsidR="00737270" w:rsidRDefault="00737270" w:rsidP="00496131">
            <w:pPr>
              <w:spacing w:line="480" w:lineRule="auto"/>
              <w:jc w:val="center"/>
            </w:pPr>
            <w:r>
              <w:rPr>
                <w:rFonts w:hint="eastAsia"/>
              </w:rPr>
              <w:t>学历</w:t>
            </w:r>
          </w:p>
        </w:tc>
        <w:tc>
          <w:tcPr>
            <w:tcW w:w="1866" w:type="dxa"/>
          </w:tcPr>
          <w:p w14:paraId="06093E5C" w14:textId="645BF655" w:rsidR="00737270" w:rsidRDefault="00C64200" w:rsidP="00496131">
            <w:pPr>
              <w:spacing w:line="480" w:lineRule="auto"/>
              <w:jc w:val="center"/>
            </w:pPr>
            <w:r>
              <w:rPr>
                <w:rFonts w:hint="eastAsia"/>
              </w:rPr>
              <w:t>研究生</w:t>
            </w:r>
          </w:p>
        </w:tc>
        <w:tc>
          <w:tcPr>
            <w:tcW w:w="1560" w:type="dxa"/>
          </w:tcPr>
          <w:p w14:paraId="2BAA0034" w14:textId="5762EC5B" w:rsidR="00737270" w:rsidRDefault="00737270" w:rsidP="00496131">
            <w:pPr>
              <w:spacing w:line="480" w:lineRule="auto"/>
              <w:jc w:val="center"/>
            </w:pPr>
            <w:r>
              <w:rPr>
                <w:rFonts w:hint="eastAsia"/>
              </w:rPr>
              <w:t>学位</w:t>
            </w:r>
          </w:p>
        </w:tc>
        <w:tc>
          <w:tcPr>
            <w:tcW w:w="2829" w:type="dxa"/>
          </w:tcPr>
          <w:p w14:paraId="33D687E2" w14:textId="37061696" w:rsidR="00737270" w:rsidRDefault="00C64200" w:rsidP="00496131">
            <w:pPr>
              <w:spacing w:line="480" w:lineRule="auto"/>
              <w:jc w:val="center"/>
            </w:pPr>
            <w:r>
              <w:rPr>
                <w:rFonts w:hint="eastAsia"/>
              </w:rPr>
              <w:t>博士</w:t>
            </w:r>
          </w:p>
        </w:tc>
        <w:tc>
          <w:tcPr>
            <w:tcW w:w="2268" w:type="dxa"/>
            <w:vMerge/>
          </w:tcPr>
          <w:p w14:paraId="4827BD65" w14:textId="77777777" w:rsidR="00737270" w:rsidRDefault="00737270" w:rsidP="00496131">
            <w:pPr>
              <w:spacing w:line="480" w:lineRule="auto"/>
              <w:jc w:val="center"/>
            </w:pPr>
          </w:p>
        </w:tc>
      </w:tr>
      <w:tr w:rsidR="00C64200" w14:paraId="69538DDD" w14:textId="77777777" w:rsidTr="001A5DDE">
        <w:trPr>
          <w:jc w:val="center"/>
        </w:trPr>
        <w:tc>
          <w:tcPr>
            <w:tcW w:w="1253" w:type="dxa"/>
          </w:tcPr>
          <w:p w14:paraId="1E6CED31" w14:textId="40679976" w:rsidR="00737270" w:rsidRDefault="00737270" w:rsidP="00496131">
            <w:pPr>
              <w:spacing w:line="480" w:lineRule="auto"/>
              <w:jc w:val="center"/>
            </w:pPr>
            <w:r>
              <w:rPr>
                <w:rFonts w:hint="eastAsia"/>
              </w:rPr>
              <w:t>职称</w:t>
            </w:r>
          </w:p>
        </w:tc>
        <w:tc>
          <w:tcPr>
            <w:tcW w:w="1866" w:type="dxa"/>
          </w:tcPr>
          <w:p w14:paraId="53D4234D" w14:textId="290623B2" w:rsidR="00737270" w:rsidRDefault="00C64200" w:rsidP="00496131">
            <w:pPr>
              <w:spacing w:line="480" w:lineRule="auto"/>
              <w:jc w:val="center"/>
            </w:pPr>
            <w:r>
              <w:rPr>
                <w:rFonts w:hint="eastAsia"/>
              </w:rPr>
              <w:t>研究员</w:t>
            </w:r>
          </w:p>
        </w:tc>
        <w:tc>
          <w:tcPr>
            <w:tcW w:w="1560" w:type="dxa"/>
          </w:tcPr>
          <w:p w14:paraId="0C5B2B26" w14:textId="3624046C" w:rsidR="00737270" w:rsidRDefault="00737270" w:rsidP="00496131">
            <w:pPr>
              <w:spacing w:line="480" w:lineRule="auto"/>
              <w:jc w:val="center"/>
            </w:pPr>
            <w:r>
              <w:rPr>
                <w:rFonts w:hint="eastAsia"/>
              </w:rPr>
              <w:t>邮箱</w:t>
            </w:r>
          </w:p>
        </w:tc>
        <w:tc>
          <w:tcPr>
            <w:tcW w:w="2829" w:type="dxa"/>
          </w:tcPr>
          <w:p w14:paraId="2093130B" w14:textId="1EF741DF" w:rsidR="00737270" w:rsidRDefault="00C64200" w:rsidP="00496131">
            <w:pPr>
              <w:spacing w:line="480" w:lineRule="auto"/>
              <w:jc w:val="center"/>
            </w:pPr>
            <w:r w:rsidRPr="00C64200">
              <w:t>zyxu@aiofm.ac.cn</w:t>
            </w:r>
          </w:p>
        </w:tc>
        <w:tc>
          <w:tcPr>
            <w:tcW w:w="2268" w:type="dxa"/>
            <w:vMerge/>
          </w:tcPr>
          <w:p w14:paraId="454E565A" w14:textId="77777777" w:rsidR="00737270" w:rsidRDefault="00737270" w:rsidP="00496131">
            <w:pPr>
              <w:spacing w:line="480" w:lineRule="auto"/>
              <w:jc w:val="center"/>
            </w:pPr>
          </w:p>
        </w:tc>
      </w:tr>
      <w:tr w:rsidR="001A5DDE" w14:paraId="6AA20BE0" w14:textId="77777777" w:rsidTr="0035743D">
        <w:trPr>
          <w:trHeight w:val="782"/>
          <w:jc w:val="center"/>
        </w:trPr>
        <w:tc>
          <w:tcPr>
            <w:tcW w:w="1253" w:type="dxa"/>
          </w:tcPr>
          <w:p w14:paraId="457648F4" w14:textId="02F25A3F" w:rsidR="00737270" w:rsidRDefault="00737270" w:rsidP="00496131">
            <w:pPr>
              <w:spacing w:line="480" w:lineRule="auto"/>
              <w:jc w:val="center"/>
            </w:pPr>
            <w:r>
              <w:rPr>
                <w:rFonts w:hint="eastAsia"/>
              </w:rPr>
              <w:t>部门</w:t>
            </w:r>
          </w:p>
        </w:tc>
        <w:tc>
          <w:tcPr>
            <w:tcW w:w="6255" w:type="dxa"/>
            <w:gridSpan w:val="3"/>
          </w:tcPr>
          <w:p w14:paraId="1E08D1B5" w14:textId="7E8376FA" w:rsidR="00737270" w:rsidRDefault="00C64200" w:rsidP="00496131">
            <w:pPr>
              <w:spacing w:line="480" w:lineRule="auto"/>
              <w:jc w:val="center"/>
            </w:pPr>
            <w:r w:rsidRPr="00C64200">
              <w:rPr>
                <w:rFonts w:hint="eastAsia"/>
              </w:rPr>
              <w:t>合肥研究院安徽光机所</w:t>
            </w:r>
          </w:p>
        </w:tc>
        <w:tc>
          <w:tcPr>
            <w:tcW w:w="2268" w:type="dxa"/>
            <w:vMerge/>
          </w:tcPr>
          <w:p w14:paraId="5361D12A" w14:textId="77777777" w:rsidR="00737270" w:rsidRDefault="00737270" w:rsidP="00496131">
            <w:pPr>
              <w:spacing w:line="480" w:lineRule="auto"/>
              <w:jc w:val="center"/>
            </w:pPr>
          </w:p>
        </w:tc>
      </w:tr>
      <w:tr w:rsidR="004069C6" w14:paraId="1DE439C3" w14:textId="77777777" w:rsidTr="001A5DDE">
        <w:trPr>
          <w:jc w:val="center"/>
        </w:trPr>
        <w:tc>
          <w:tcPr>
            <w:tcW w:w="1253" w:type="dxa"/>
            <w:vAlign w:val="center"/>
          </w:tcPr>
          <w:p w14:paraId="65AE857C" w14:textId="2A9DE0EB" w:rsidR="004069C6" w:rsidRDefault="004069C6" w:rsidP="00496131">
            <w:pPr>
              <w:spacing w:line="480" w:lineRule="auto"/>
              <w:jc w:val="center"/>
            </w:pPr>
            <w:r>
              <w:rPr>
                <w:rFonts w:hint="eastAsia"/>
              </w:rPr>
              <w:t>个人简历</w:t>
            </w:r>
          </w:p>
        </w:tc>
        <w:tc>
          <w:tcPr>
            <w:tcW w:w="8523" w:type="dxa"/>
            <w:gridSpan w:val="4"/>
          </w:tcPr>
          <w:p w14:paraId="478A40C9" w14:textId="3442949F" w:rsidR="004069C6" w:rsidRDefault="00C64200" w:rsidP="00D03FED">
            <w:pPr>
              <w:spacing w:line="480" w:lineRule="auto"/>
            </w:pPr>
            <w:r w:rsidRPr="00C64200">
              <w:rPr>
                <w:rFonts w:hint="eastAsia"/>
              </w:rPr>
              <w:t>安徽光机所环境光学中心光谱应用技术研究实验室主任，研究员，中科院青促会会员。主要从事吸收光谱技术与应用研究，包括发动机燃烧流场、风洞流场、火箭羽流等极端环境流场温度、流速、组分浓度定量高频测量及场分布重建方法研究，以及温室气体、污染物排放及化工园区毒害气体高灵敏光学测量技术研究。承担国家科技重大专项、科技部重大仪器研制项目、科工局计量前端技术攻关项目、安徽省面上基金项目及横向仪器研制开发项目等</w:t>
            </w:r>
            <w:r w:rsidRPr="00C64200">
              <w:t>10余项。研究成果获军科委科技进步二等奖与中国光学学会科技进步二等奖。</w:t>
            </w:r>
          </w:p>
        </w:tc>
      </w:tr>
      <w:tr w:rsidR="004069C6" w14:paraId="683FAE94" w14:textId="77777777" w:rsidTr="001A5DDE">
        <w:trPr>
          <w:jc w:val="center"/>
        </w:trPr>
        <w:tc>
          <w:tcPr>
            <w:tcW w:w="1253" w:type="dxa"/>
            <w:vAlign w:val="center"/>
          </w:tcPr>
          <w:p w14:paraId="4B98AC61" w14:textId="6E194219" w:rsidR="004069C6" w:rsidRDefault="004069C6" w:rsidP="00496131">
            <w:pPr>
              <w:spacing w:line="480" w:lineRule="auto"/>
              <w:jc w:val="center"/>
            </w:pPr>
            <w:r>
              <w:rPr>
                <w:rFonts w:hint="eastAsia"/>
              </w:rPr>
              <w:t>研究方向</w:t>
            </w:r>
          </w:p>
        </w:tc>
        <w:tc>
          <w:tcPr>
            <w:tcW w:w="8523" w:type="dxa"/>
            <w:gridSpan w:val="4"/>
          </w:tcPr>
          <w:p w14:paraId="305A1F0D" w14:textId="3FBDF806" w:rsidR="00C64200" w:rsidRDefault="00C64200" w:rsidP="00C64200">
            <w:pPr>
              <w:spacing w:line="480" w:lineRule="auto"/>
            </w:pPr>
            <w:r>
              <w:t>1、激光吸收光谱技术流场诊断应用；</w:t>
            </w:r>
          </w:p>
          <w:p w14:paraId="3B19CFA5" w14:textId="75E0CF2D" w:rsidR="004069C6" w:rsidRDefault="00C64200" w:rsidP="00C64200">
            <w:pPr>
              <w:spacing w:line="480" w:lineRule="auto"/>
            </w:pPr>
            <w:r>
              <w:t>2、温室气体/污染气体高灵敏探测；</w:t>
            </w:r>
          </w:p>
        </w:tc>
      </w:tr>
      <w:tr w:rsidR="004872B9" w14:paraId="0CE2204C" w14:textId="77777777" w:rsidTr="001A5DDE">
        <w:trPr>
          <w:jc w:val="center"/>
        </w:trPr>
        <w:tc>
          <w:tcPr>
            <w:tcW w:w="1253" w:type="dxa"/>
            <w:vAlign w:val="center"/>
          </w:tcPr>
          <w:p w14:paraId="0576138A" w14:textId="45C9CC3C" w:rsidR="004872B9" w:rsidRDefault="004872B9" w:rsidP="00496131">
            <w:pPr>
              <w:spacing w:line="480" w:lineRule="auto"/>
              <w:jc w:val="center"/>
            </w:pPr>
            <w:r>
              <w:rPr>
                <w:rFonts w:hint="eastAsia"/>
              </w:rPr>
              <w:t>招生专业</w:t>
            </w:r>
          </w:p>
        </w:tc>
        <w:tc>
          <w:tcPr>
            <w:tcW w:w="8523" w:type="dxa"/>
            <w:gridSpan w:val="4"/>
          </w:tcPr>
          <w:p w14:paraId="1DD8452A" w14:textId="70F164F5" w:rsidR="004872B9" w:rsidRDefault="00C64200" w:rsidP="00CA7370">
            <w:pPr>
              <w:spacing w:line="480" w:lineRule="auto"/>
            </w:pPr>
            <w:r w:rsidRPr="00C64200">
              <w:rPr>
                <w:rFonts w:hint="eastAsia"/>
              </w:rPr>
              <w:t>具有物理学、光学与光谱学、数学、计算机与信号处理等学科背景，对流场诊断、燃烧性能研究和环境与工业中温室气体</w:t>
            </w:r>
            <w:r w:rsidRPr="00C64200">
              <w:t>/污染气体高灵敏探测感兴趣的学生均可联系攻读硕士学位。</w:t>
            </w:r>
          </w:p>
        </w:tc>
      </w:tr>
      <w:tr w:rsidR="004069C6" w14:paraId="45116B85" w14:textId="77777777" w:rsidTr="001A5DDE">
        <w:trPr>
          <w:jc w:val="center"/>
        </w:trPr>
        <w:tc>
          <w:tcPr>
            <w:tcW w:w="1253" w:type="dxa"/>
            <w:vAlign w:val="center"/>
          </w:tcPr>
          <w:p w14:paraId="752B1409" w14:textId="0211EBC5" w:rsidR="004069C6" w:rsidRDefault="004872B9" w:rsidP="00496131">
            <w:pPr>
              <w:spacing w:line="480" w:lineRule="auto"/>
              <w:jc w:val="center"/>
            </w:pPr>
            <w:r>
              <w:rPr>
                <w:rFonts w:hint="eastAsia"/>
              </w:rPr>
              <w:t>代表性科研成果</w:t>
            </w:r>
          </w:p>
        </w:tc>
        <w:tc>
          <w:tcPr>
            <w:tcW w:w="8523" w:type="dxa"/>
            <w:gridSpan w:val="4"/>
          </w:tcPr>
          <w:p w14:paraId="417E6D55" w14:textId="6121A532" w:rsidR="00C64200" w:rsidRPr="00C64200" w:rsidRDefault="00C64200" w:rsidP="00C64200">
            <w:pPr>
              <w:spacing w:line="480" w:lineRule="auto"/>
              <w:rPr>
                <w:b/>
                <w:bCs/>
              </w:rPr>
            </w:pPr>
            <w:r w:rsidRPr="00C64200">
              <w:rPr>
                <w:b/>
                <w:bCs/>
              </w:rPr>
              <w:t>1.论文</w:t>
            </w:r>
          </w:p>
          <w:p w14:paraId="2A352933" w14:textId="77777777" w:rsidR="00C64200" w:rsidRDefault="00C64200" w:rsidP="00C64200">
            <w:pPr>
              <w:spacing w:line="480" w:lineRule="auto"/>
            </w:pPr>
            <w:r>
              <w:rPr>
                <w:rFonts w:hint="eastAsia"/>
              </w:rPr>
              <w:t>（</w:t>
            </w:r>
            <w:r>
              <w:t>1）1. S. Ai，H. Deng，A. Huang ，H. Xia，C. Chen，R. Kan***，Y. He**，and Z. Xu*, Numerical Study on Influencing Factors of Thermometry Method Based on Broadband Absorption Spectrum, Acta Optica Sinica. 42, 18 (2022).</w:t>
            </w:r>
          </w:p>
          <w:p w14:paraId="547A62C4" w14:textId="77777777" w:rsidR="00C64200" w:rsidRDefault="00C64200" w:rsidP="00C64200">
            <w:pPr>
              <w:spacing w:line="480" w:lineRule="auto"/>
            </w:pPr>
            <w:r>
              <w:rPr>
                <w:rFonts w:hint="eastAsia"/>
              </w:rPr>
              <w:t>（</w:t>
            </w:r>
            <w:r>
              <w:t>2）. Y. Zang, Z. Xu, A. Huang, S. Ai, H. Xia, and R. Kan, Distribution reconstruction of non-uniform combustion field based on improved simulated annealing algorithm, Acta Physica Sinica 70(13), 229-240 (2021)</w:t>
            </w:r>
          </w:p>
          <w:p w14:paraId="762BDFDA" w14:textId="77777777" w:rsidR="00C64200" w:rsidRDefault="00C64200" w:rsidP="00C64200">
            <w:pPr>
              <w:spacing w:line="480" w:lineRule="auto"/>
            </w:pPr>
            <w:r>
              <w:rPr>
                <w:rFonts w:hint="eastAsia"/>
              </w:rPr>
              <w:lastRenderedPageBreak/>
              <w:t>（</w:t>
            </w:r>
            <w:r>
              <w:t>3）.B. Zhang, Z. Xu, J.  Liu,  L. Yao, R. Jun, J. Hu, H.  Xia, W. Nie, F.  Yuan, and R. Kan, Temperature measurement method of high temperature and high pressure flow field based on wavelength modulation spectroscopy technology, Acta Physics Sinica.  68, 233301 (2019) .</w:t>
            </w:r>
          </w:p>
          <w:p w14:paraId="0C37A88F" w14:textId="77777777" w:rsidR="00C64200" w:rsidRDefault="00C64200" w:rsidP="00C64200">
            <w:pPr>
              <w:spacing w:line="480" w:lineRule="auto"/>
            </w:pPr>
            <w:r>
              <w:rPr>
                <w:rFonts w:hint="eastAsia"/>
              </w:rPr>
              <w:t>（</w:t>
            </w:r>
            <w:r>
              <w:t>4）. W. Nie , Z. Xu, R. Kan, J. Ruan, L. Ye, B. Wang, and Y. He, Development of a Dew/Frost Point Temperature Sensor Based on Tunable Diode Laser Absorption Spectroscopy and Its Application in a Cryogenic Wind Tunnel,  Sensors 18(8):2704( 2018,).</w:t>
            </w:r>
          </w:p>
          <w:p w14:paraId="4E4A1AE3" w14:textId="77777777" w:rsidR="00C64200" w:rsidRDefault="00C64200" w:rsidP="00C64200">
            <w:pPr>
              <w:spacing w:line="480" w:lineRule="auto"/>
            </w:pPr>
            <w:r>
              <w:rPr>
                <w:rFonts w:hint="eastAsia"/>
              </w:rPr>
              <w:t>（</w:t>
            </w:r>
            <w:r>
              <w:t>5）. W. Nie*, Z. Xu*, R. Kan*, J. Ruan, L. Yao, B. Wang, B. Zhang, Y. He, Measurement of low water vapor dew-point temperature based on tunable diode laser absorption spectroscopy, Optics and Precision Engineering 26(8):8 (2018).</w:t>
            </w:r>
          </w:p>
          <w:p w14:paraId="0BF6655D" w14:textId="77777777" w:rsidR="00C64200" w:rsidRDefault="00C64200" w:rsidP="00C64200">
            <w:pPr>
              <w:spacing w:line="480" w:lineRule="auto"/>
            </w:pPr>
            <w:r>
              <w:rPr>
                <w:rFonts w:hint="eastAsia"/>
              </w:rPr>
              <w:t>（</w:t>
            </w:r>
            <w:r>
              <w:t>6）. W, Nie, R. Kan*, Z. Xu*, L. Yao, H. Xia, Y. Peng, B. Zhang, Y. He, Measuring spectral parameters of water vapor at low temperature based on tunable diode laser absorption spectroscopy,  Acta Physics Sinica. 66(20):204204 (2017).</w:t>
            </w:r>
          </w:p>
          <w:p w14:paraId="069B4DAC" w14:textId="77777777" w:rsidR="00C64200" w:rsidRDefault="00C64200" w:rsidP="00C64200">
            <w:pPr>
              <w:spacing w:line="480" w:lineRule="auto"/>
            </w:pPr>
            <w:r>
              <w:rPr>
                <w:rFonts w:hint="eastAsia"/>
              </w:rPr>
              <w:t>（</w:t>
            </w:r>
            <w:r>
              <w:t>7）. Z. Xu, R. Kan, Y. Lu, J. Liu, A Tunable Diode Laser Absorption Based Velocity Sensor for Local Field in Hypersonic Flows,  in Optics and Photonics for Energy and the Environment , Leipzig Germany (2016).</w:t>
            </w:r>
          </w:p>
          <w:p w14:paraId="0EFF6B65" w14:textId="77777777" w:rsidR="00C64200" w:rsidRDefault="00C64200" w:rsidP="00C64200">
            <w:pPr>
              <w:spacing w:line="480" w:lineRule="auto"/>
            </w:pPr>
            <w:r w:rsidRPr="00C64200">
              <w:rPr>
                <w:b/>
                <w:bCs/>
              </w:rPr>
              <w:t>2</w:t>
            </w:r>
            <w:r>
              <w:t xml:space="preserve">. </w:t>
            </w:r>
            <w:r w:rsidRPr="00C64200">
              <w:rPr>
                <w:b/>
                <w:bCs/>
              </w:rPr>
              <w:t>承担项目</w:t>
            </w:r>
          </w:p>
          <w:p w14:paraId="77C7C619" w14:textId="77777777" w:rsidR="00C64200" w:rsidRDefault="00C64200" w:rsidP="00C64200">
            <w:pPr>
              <w:spacing w:line="480" w:lineRule="auto"/>
            </w:pPr>
            <w:r>
              <w:rPr>
                <w:rFonts w:hint="eastAsia"/>
              </w:rPr>
              <w:t>（</w:t>
            </w:r>
            <w:r>
              <w:t>1）科技部仪器专项子课题“基于中红外可调谐激光光谱技术的二次细颗粒物主要前体物高灵敏度监测模块开发”；</w:t>
            </w:r>
          </w:p>
          <w:p w14:paraId="4607A711" w14:textId="77777777" w:rsidR="00C64200" w:rsidRDefault="00C64200" w:rsidP="00C64200">
            <w:pPr>
              <w:spacing w:line="480" w:lineRule="auto"/>
            </w:pPr>
            <w:r>
              <w:rPr>
                <w:rFonts w:hint="eastAsia"/>
              </w:rPr>
              <w:t>（</w:t>
            </w:r>
            <w:r>
              <w:t>2）国家科技重大专项“TDLAS测量系统样机研制及地面试验验证”“TDLAS 浓度测量精提升与高分辨场布布测量方法研究”；</w:t>
            </w:r>
          </w:p>
          <w:p w14:paraId="2EA105ED" w14:textId="77777777" w:rsidR="00C64200" w:rsidRDefault="00C64200" w:rsidP="00C64200">
            <w:pPr>
              <w:spacing w:line="480" w:lineRule="auto"/>
            </w:pPr>
            <w:r>
              <w:rPr>
                <w:rFonts w:hint="eastAsia"/>
              </w:rPr>
              <w:t>（</w:t>
            </w:r>
            <w:r>
              <w:t>3）前端计量攻关项目课题“双光梳气体吸收谱温度测量技术及影响因素研究”</w:t>
            </w:r>
          </w:p>
          <w:p w14:paraId="10AC825A" w14:textId="726D2B43" w:rsidR="004069C6" w:rsidRDefault="00C64200" w:rsidP="00C64200">
            <w:pPr>
              <w:spacing w:line="480" w:lineRule="auto"/>
            </w:pPr>
            <w:r>
              <w:rPr>
                <w:rFonts w:hint="eastAsia"/>
              </w:rPr>
              <w:lastRenderedPageBreak/>
              <w:t>（</w:t>
            </w:r>
            <w:r>
              <w:t>4）企业横向合作项目“TDLAS露点测量系统研制”"</w:t>
            </w:r>
          </w:p>
        </w:tc>
      </w:tr>
    </w:tbl>
    <w:p w14:paraId="0EC73F6C" w14:textId="77777777" w:rsidR="00E02422" w:rsidRDefault="00E02422" w:rsidP="00496131">
      <w:pPr>
        <w:jc w:val="center"/>
      </w:pPr>
    </w:p>
    <w:sectPr w:rsidR="00E02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A4A6" w14:textId="77777777" w:rsidR="00446704" w:rsidRDefault="00446704" w:rsidP="001A5DDE">
      <w:r>
        <w:separator/>
      </w:r>
    </w:p>
  </w:endnote>
  <w:endnote w:type="continuationSeparator" w:id="0">
    <w:p w14:paraId="740606F8" w14:textId="77777777" w:rsidR="00446704" w:rsidRDefault="00446704" w:rsidP="001A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F042" w14:textId="77777777" w:rsidR="00446704" w:rsidRDefault="00446704" w:rsidP="001A5DDE">
      <w:r>
        <w:separator/>
      </w:r>
    </w:p>
  </w:footnote>
  <w:footnote w:type="continuationSeparator" w:id="0">
    <w:p w14:paraId="1492D4F8" w14:textId="77777777" w:rsidR="00446704" w:rsidRDefault="00446704" w:rsidP="001A5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7D"/>
    <w:rsid w:val="0011058C"/>
    <w:rsid w:val="001A5DDE"/>
    <w:rsid w:val="00237BCD"/>
    <w:rsid w:val="0035743D"/>
    <w:rsid w:val="004069C6"/>
    <w:rsid w:val="00446704"/>
    <w:rsid w:val="004872B9"/>
    <w:rsid w:val="00496131"/>
    <w:rsid w:val="004F541E"/>
    <w:rsid w:val="005B1B4B"/>
    <w:rsid w:val="00694940"/>
    <w:rsid w:val="00720C9A"/>
    <w:rsid w:val="00737270"/>
    <w:rsid w:val="00894BCD"/>
    <w:rsid w:val="008A746C"/>
    <w:rsid w:val="00901C5D"/>
    <w:rsid w:val="00965559"/>
    <w:rsid w:val="00985C1F"/>
    <w:rsid w:val="00BB2525"/>
    <w:rsid w:val="00C64200"/>
    <w:rsid w:val="00CA7370"/>
    <w:rsid w:val="00D03FED"/>
    <w:rsid w:val="00D8737D"/>
    <w:rsid w:val="00D92A55"/>
    <w:rsid w:val="00E02422"/>
    <w:rsid w:val="00F1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8A00A"/>
  <w15:chartTrackingRefBased/>
  <w15:docId w15:val="{7171B5AD-0780-4FCE-8C1D-271FD7D2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5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A5DDE"/>
    <w:rPr>
      <w:sz w:val="18"/>
      <w:szCs w:val="18"/>
    </w:rPr>
  </w:style>
  <w:style w:type="paragraph" w:styleId="a6">
    <w:name w:val="footer"/>
    <w:basedOn w:val="a"/>
    <w:link w:val="a7"/>
    <w:uiPriority w:val="99"/>
    <w:unhideWhenUsed/>
    <w:rsid w:val="001A5DDE"/>
    <w:pPr>
      <w:tabs>
        <w:tab w:val="center" w:pos="4153"/>
        <w:tab w:val="right" w:pos="8306"/>
      </w:tabs>
      <w:snapToGrid w:val="0"/>
      <w:jc w:val="left"/>
    </w:pPr>
    <w:rPr>
      <w:sz w:val="18"/>
      <w:szCs w:val="18"/>
    </w:rPr>
  </w:style>
  <w:style w:type="character" w:customStyle="1" w:styleId="a7">
    <w:name w:val="页脚 字符"/>
    <w:basedOn w:val="a0"/>
    <w:link w:val="a6"/>
    <w:uiPriority w:val="99"/>
    <w:rsid w:val="001A5D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aiofm</dc:creator>
  <cp:keywords/>
  <dc:description/>
  <cp:lastModifiedBy>aiofm</cp:lastModifiedBy>
  <cp:revision>22</cp:revision>
  <dcterms:created xsi:type="dcterms:W3CDTF">2022-07-12T00:42:00Z</dcterms:created>
  <dcterms:modified xsi:type="dcterms:W3CDTF">2024-07-05T06:14:00Z</dcterms:modified>
</cp:coreProperties>
</file>